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948" w:rsidRPr="00F51948" w:rsidRDefault="00F51948" w:rsidP="00F51948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</w:pPr>
      <w:r w:rsidRPr="00F51948">
        <w:rPr>
          <w:rFonts w:ascii="Arial" w:eastAsia="Times New Roman" w:hAnsi="Arial" w:cs="Arial"/>
          <w:b/>
          <w:bCs/>
          <w:color w:val="333333"/>
          <w:sz w:val="27"/>
          <w:szCs w:val="27"/>
          <w:lang w:eastAsia="hu-HU"/>
        </w:rPr>
        <w:t>2019. januárjától több ponton is módosul a Munkavédelmi Törvény</w:t>
      </w:r>
    </w:p>
    <w:p w:rsidR="00F51948" w:rsidRPr="00F51948" w:rsidRDefault="00F51948" w:rsidP="00F519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lang w:eastAsia="hu-HU"/>
        </w:rPr>
      </w:pP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t>Az Országgyűlés a 2018. november 27-i ülésnapján, az egyes foglalkoztatási tárgyú törvények módosításáról szóló </w:t>
      </w:r>
      <w:hyperlink r:id="rId6" w:tgtFrame="_blank" w:history="1">
        <w:r w:rsidRPr="00F51948">
          <w:rPr>
            <w:rFonts w:ascii="Calibri Light" w:eastAsia="Times New Roman" w:hAnsi="Calibri Light" w:cs="Calibri Light"/>
            <w:color w:val="771100"/>
            <w:sz w:val="24"/>
            <w:szCs w:val="24"/>
            <w:u w:val="single"/>
            <w:lang w:eastAsia="hu-HU"/>
          </w:rPr>
          <w:t>2018. évi XCIV. törvény</w:t>
        </w:r>
      </w:hyperlink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t> elfogadásával módosította a munkavédelmi törvényt (</w:t>
      </w:r>
      <w:hyperlink r:id="rId7" w:tgtFrame="_blank" w:history="1">
        <w:r w:rsidRPr="00F51948">
          <w:rPr>
            <w:rFonts w:ascii="Calibri Light" w:eastAsia="Times New Roman" w:hAnsi="Calibri Light" w:cs="Calibri Light"/>
            <w:color w:val="771100"/>
            <w:sz w:val="24"/>
            <w:szCs w:val="24"/>
            <w:u w:val="single"/>
            <w:lang w:eastAsia="hu-HU"/>
          </w:rPr>
          <w:t>1993.évi XCIII. tv.</w:t>
        </w:r>
      </w:hyperlink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t>) 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A Magyar Közlöny 2018. évi 194. számában jelent meg az 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Mvt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-módosítása, amely 2019. januárjától hatályos.</w:t>
      </w: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Nyilván minden jogszabály-módosítási szövegrész a maga nemében fontos, azonban</w:t>
      </w:r>
      <w:r w:rsidR="009E1D10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FFFF"/>
          <w:lang w:eastAsia="hu-HU"/>
        </w:rPr>
        <w:t>gyakorlati oldalról a leginkább kiemelendő változás,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hogy a korábban már megválasztott, de új ciklusát megkezdő (azaz régi-új) munkavédelmi képviselő ezentúl már csak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FFFF"/>
          <w:lang w:eastAsia="hu-HU"/>
        </w:rPr>
        <w:t>8 órás évenkénti továbbképzésben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részesül.</w:t>
      </w: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A munkavédelmi képviselők évenkénti képzése 2019-től már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FFFF"/>
          <w:lang w:eastAsia="hu-HU"/>
        </w:rPr>
        <w:t>csak a felnőttképzésről szóló törvény szerinti törvény szerinti tevékenység keretében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történhet.</w:t>
      </w: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A legfelsőbb szintű hazai, 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tripartit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munkavédelmi egyeztető testület visszakapta korábbi nevét: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FFFF"/>
          <w:lang w:eastAsia="hu-HU"/>
        </w:rPr>
        <w:t>Országos Munkavédelmi Bizottság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a régi-új megnevezés 2019-től. Így végre - újra - egyszerűbb lesz a megkülönböztetés a munkahelyi szinten tevékenykedő munkavédelmi bizottságoktól.</w:t>
      </w: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-----</w:t>
      </w: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És akkor a részletes, pontos változások a közlönyből, saját kiemelések </w:t>
      </w:r>
      <w:r w:rsidRPr="009E1D10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a </w:t>
      </w:r>
      <w:r w:rsidRPr="009E1D10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LEGFONTOSABB</w:t>
      </w:r>
      <w:r w:rsidR="009E1D10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 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részekről:</w:t>
      </w:r>
    </w:p>
    <w:p w:rsidR="00F51948" w:rsidRPr="00F51948" w:rsidRDefault="00F51948" w:rsidP="00F51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t xml:space="preserve">A munkavédelemről szóló 1993. évi XCIII torvény (a továbbiakban 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t>Mvt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t>) 11.§-a helyébe a következő rendelkezés lép: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„11.§ A munkavédelem alapvető szabályait e törvény, a részletes szabályait e törvény felhatalmazása alapján a foglalkoztatáspolitikáért felelős miniszter által kiadott más jogszabályok, az egyes tevékenységekre vonatkozóan a feladatkörében érintett miniszter rendeletével hatályba léptetett szabályzatok (a továbbiakban Szabályzat) 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tartalmazzák.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Munkavédelemre</w:t>
      </w:r>
      <w:proofErr w:type="spellEnd"/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 vonatkozó szabálynak minősül a nemzeti szabványosításról szóló törvény figyelembevételével a teljes egészében magyar nyelvű munkavédelmi </w:t>
      </w:r>
      <w:proofErr w:type="spellStart"/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tartalmú</w:t>
      </w:r>
      <w:proofErr w:type="spellEnd"/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 nemzeti szabvány”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t>54.§ (7) bekezdés d) pontja helyébe a következő rendelkezés lép: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(Az egészséget nem veszélyeztető és biztonságos munkavégzés érdekében a munkáltató köteles)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„d.) a technológia változtatását és az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új technológia bevezetését érintő döntés előtt</w:t>
      </w:r>
      <w:r w:rsidR="009E1D10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 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megtárgyalni a munkavállalókkal, valamint munkavédelmi képviselőikkel a változtatás, vagy bevezetés egészségre és biztonságra kiható következményeit,”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72.§ (2) bekezdés e) pontja helyébe a következő rendelkezés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(A munkavédelmi képviselő az (1) bekezdésben meghatározott jogának gyakorlása keretében)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„e) az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adatvédelmi előírások betartásával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részt vehet a munkabalesetek kivizsgálásában, közreműködhet a foglalkozási megbetegedés körülményeinek feltárásában”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lastRenderedPageBreak/>
        <w:t>73.§ (1) bekezdése helyébe a következő rendelkezés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„(1) A munkavédelmi képviselőnek (bizottságnak) a 72. § (2) bekezdés </w:t>
      </w:r>
      <w:proofErr w:type="gram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c)-</w:t>
      </w:r>
      <w:proofErr w:type="gram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e) pontjában meghatározott kezdeményezésére a munkáltatónak az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intézkedésről, vagy az intézkedés elmaradásának okáról 8 napon belül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tájékoztatnia kell a munkavédelmi képviselőt (bizottságot)”</w:t>
      </w:r>
    </w:p>
    <w:p w:rsidR="00F51948" w:rsidRPr="00F51948" w:rsidRDefault="00F51948" w:rsidP="009E1D10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75.§ (1) bekezdés c) pontja helyébe a következő rendelkezés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(A munkáltatónak biztosítania kell a feltételeket annak érdekében, hogy a munkavédelmi képviselő a jogait gyakorolhassa)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„c) a képviselő megválasztását követő egy éven belül legalább 16 órás képzésben,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ezt követően, valamint újraválasztása esetén évente legalább 8 órás továbbképzésben való részvétel lehetőségét”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75.§ (2) bekezdés helyébe a következő rendelkezés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„(2) Az (1) bekezdésben foglaltak költségei a munkáltatót terhelik, továbbá az (1) bekezdés c) pontja szerinti képzés csak rendes munkaidőben és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a felnőttképzésről szóló törvény szerinti tevékenység keretében történhet.”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76.§ (2) bekezdés helyébe a következő rendelkezés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„(1) A munkavédelmi képviselő (bizottság)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jogai gyakorlásában nem akadályozható és jogai gyakorlása miatt hátrány nem érheti.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A Mvt. 78. §-át megelőző alcím címe helyébe a következő alcím cím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„Országos Munkavédelmi Bizottság”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81/A.§ (1) bekezdés helyébe a következő rendelkezés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„(1) A munkavédelmi hatóság az ellenőrzési tevékenységét a foglalkoztatáspolitikáért felelős miniszter által közzétett ellenőrzési irányelv alapján végzi. Az irányelvet a foglalkoztatáspolitikáért felelős miniszter évenként az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ellenőrzési időszakot megelőző 45 napig a hivatalos honlapján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elektronikusan teszi közzé.”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82/A. §-a helyébe a következő rendelkezés lép: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„82/A. § Az Mt. 295. § (1) bekezdés e) pontjában meghatározottak betartása, továbbá a munkavédelemre vonatkozó szabályok betartásának ellenőrzése céljából tartott vizsgálatok tapasztalatairól, valamint a munkabalesetek alakulásáról a munkavédelmi hatóság 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félévente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beszámolót készít a foglalkoztatáspolitikáért felelős miniszter számára.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A beszámolót a miniszter a tárgyidőszakot követő 60 napon belül elektronikusan </w:t>
      </w:r>
      <w:proofErr w:type="spellStart"/>
      <w:proofErr w:type="gramStart"/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közzéteszi.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A</w:t>
      </w:r>
      <w:proofErr w:type="spellEnd"/>
      <w:proofErr w:type="gram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beszámolóban foglalt megállapításokra a 14. § (1) bekezdés e) pontjában meghatározott jelentésnek ki kell terjednie.”</w:t>
      </w:r>
    </w:p>
    <w:p w:rsidR="00F51948" w:rsidRPr="00F51948" w:rsidRDefault="00F51948" w:rsidP="009E1D10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82/D. § (1) bekezdés c) és d) pontja helyébe a következő rendelkezések lépnek: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(A munkavédelmi hatóság közigazgatási bírsággal sújtja azt a természetes személyt, aki a szervezett munkavégzés során:)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„c) a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foglalkozási megbetegedéssel, fokozott expozíciós esettel kapcsolatos</w:t>
      </w:r>
      <w:r w:rsidR="009E1D10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 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adatszolgáltatási kötelezettségét nem teljesíti, valótlan adatot közöl, a foglalkozási megbetegedés, fokozott expozíció valódi okát eltitkolja, vagy a kivizsgálását akadályozza, vagy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d) a munkáltató képviselőjeként a munkavédelmi képviselő választásra vonatkozó szabályokat megszegi, a munkavédelmi képviselőt a munkavédelemre vonatkozó szabályban biztosított jogának gyakorlásában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akadályozza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, vagy a munkavédelmi képviselővel szemben jogainak gyakorlása miatt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hátrányos intézkedést tesz.”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lastRenderedPageBreak/>
        <w:t>86/A. § (2) és (3) bekezdése helyébe a következő rendelkezések lépnek: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„(2) A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távmunkavégzés 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-a munkáltatóval kötött megállapodás alapján- a munkáltató által biztosított munkaeszközzel történhet. Az ilyen munkaeszköz esetén a munkáltató a kockázatértékelés elvégzése során győződik meg a munkaeszköz biztonságos állapotáról. A munkaeszköz biztonságos állapotának fenntartásáról ebben az esetben a munkavállaló gondoskodik.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(3) A munkahelyen a munkavállaló a munkáltató hozzájárulása nélkül nem változtathatja meg a munkakörülményeket.”</w:t>
      </w:r>
    </w:p>
    <w:p w:rsidR="00F51948" w:rsidRPr="00F51948" w:rsidRDefault="00F51948" w:rsidP="004B49A6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86/A. § (5) bekezdése helyébe a következő rendelkezés lép:</w:t>
      </w:r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„(5) A (4) bekezdésben meghatározott ellenőrzésen túl a munkáltató vagy megbízottja –így különösen a 8.§-ban, valamint az 57-58 §-ban megjelölt személy- a </w:t>
      </w:r>
      <w:r w:rsidRPr="00F51948">
        <w:rPr>
          <w:rFonts w:ascii="Calibri Light" w:eastAsia="Times New Roman" w:hAnsi="Calibri Light" w:cs="Calibri Light"/>
          <w:b/>
          <w:bCs/>
          <w:color w:val="333333"/>
          <w:sz w:val="24"/>
          <w:szCs w:val="24"/>
          <w:shd w:val="clear" w:color="auto" w:fill="FFA500"/>
          <w:lang w:eastAsia="hu-HU"/>
        </w:rPr>
        <w:t>kockázatértékelés elvégzése, balesetvizsgálat lefolytatása, valamint a munkakörülmények ellenőrzése céljából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léphetnek be és tartózkodhat a munkavégzési helyként szolgáló ingatlan területén.”</w:t>
      </w:r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86/A. §-a 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a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következő (8) bekezdéssel egészül ki:</w:t>
      </w:r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„(8) Távmunkavégzés esetén munkahely az a munkaszerződésben a felek által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meghatározott helyiség,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ahol a munkavállaló az információtechnológiai vagy számítástechnikai eszközzel rendszeresen a munkáját végzi.”</w:t>
      </w:r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87. § 1/G pontja helyébe a következő rendelkezés lép:</w:t>
      </w:r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(E törvény alkalmazásában)</w:t>
      </w:r>
      <w:r w:rsidRPr="00F51948">
        <w:rPr>
          <w:rFonts w:ascii="Calibri Light" w:eastAsia="Times New Roman" w:hAnsi="Calibri Light" w:cs="Calibri Light"/>
          <w:color w:val="333333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„1/G. Közúti közlekedés: a vízi, a légi útvonalon, a vasúti vonalon, a közutakon, valamint bármely föld alatti vagy föld feletti útvonalon járművel történő helyváltoztatás.”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33333"/>
          <w:sz w:val="36"/>
          <w:szCs w:val="36"/>
          <w:lang w:eastAsia="hu-HU"/>
        </w:rPr>
        <w:t>A Munkavédelmi Törvény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71.§-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ában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az „a kellő időben” szövegrész helyébe a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„még az intézkedés bevezetését érintő döntés előtt”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szöveg.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75.§ (1) bekezdés a) pontjában az „átlagkeresettel” szövegrész helyébe a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„távolléti </w:t>
      </w:r>
      <w:proofErr w:type="spellStart"/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díjjal"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szöveg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,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78.§-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ában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és 79.§ (1) bekezdés nyitó szövegrészében a (2) bekezdésében a „Munkavédelmi Bizottság” szövegrész helyébe az 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„Országos Munkavédelmi </w:t>
      </w:r>
      <w:proofErr w:type="spellStart"/>
      <w:proofErr w:type="gramStart"/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Bizottság”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szöveg</w:t>
      </w:r>
      <w:proofErr w:type="spellEnd"/>
      <w:proofErr w:type="gram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,</w:t>
      </w:r>
    </w:p>
    <w:p w:rsidR="00F51948" w:rsidRPr="00F51948" w:rsidRDefault="00F51948" w:rsidP="00F5194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lang w:eastAsia="hu-HU"/>
        </w:rPr>
      </w:pP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87.§ 3. pontjában a „kivéve, ha a baleset a munkáltató saját vagy </w:t>
      </w:r>
      <w:proofErr w:type="spell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bérelt</w:t>
      </w:r>
      <w:proofErr w:type="spellEnd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 xml:space="preserve"> járművével történt” szövegrész helyett a „kivéve, ha a baleset a munkáltató saját tulajdonában </w:t>
      </w:r>
      <w:proofErr w:type="spellStart"/>
      <w:proofErr w:type="gramStart"/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álló,</w:t>
      </w:r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>bérleti</w:t>
      </w:r>
      <w:proofErr w:type="spellEnd"/>
      <w:proofErr w:type="gramEnd"/>
      <w:r w:rsidRPr="00F51948"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A500"/>
          <w:lang w:eastAsia="hu-HU"/>
        </w:rPr>
        <w:t xml:space="preserve"> vagy más szerződés alapján, továbbá egyéb megállapodás alapján biztosított járművel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 történt” szöveg</w:t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lang w:eastAsia="hu-HU"/>
        </w:rPr>
        <w:br/>
      </w:r>
      <w:r w:rsidRPr="00F51948">
        <w:rPr>
          <w:rFonts w:ascii="Calibri Light" w:eastAsia="Times New Roman" w:hAnsi="Calibri Light" w:cs="Calibri Light"/>
          <w:color w:val="3F3434"/>
          <w:sz w:val="24"/>
          <w:szCs w:val="24"/>
          <w:shd w:val="clear" w:color="auto" w:fill="FFFFFF"/>
          <w:lang w:eastAsia="hu-HU"/>
        </w:rPr>
        <w:t>lép.</w:t>
      </w:r>
    </w:p>
    <w:p w:rsidR="009779ED" w:rsidRDefault="006150C3">
      <w:r>
        <w:rPr>
          <w:rFonts w:ascii="Calibri Light" w:eastAsia="Times New Roman" w:hAnsi="Calibri Light" w:cs="Calibri Light"/>
          <w:b/>
          <w:bCs/>
          <w:color w:val="3F3434"/>
          <w:sz w:val="24"/>
          <w:szCs w:val="24"/>
          <w:shd w:val="clear" w:color="auto" w:fill="FFFFFF"/>
          <w:lang w:eastAsia="hu-HU"/>
        </w:rPr>
        <w:t xml:space="preserve">Készült: </w:t>
      </w:r>
      <w:r>
        <w:rPr>
          <w:rFonts w:ascii="Calibri Light" w:hAnsi="Calibri Light" w:cs="Calibri Light"/>
          <w:b/>
          <w:bCs/>
          <w:color w:val="3F3434"/>
          <w:shd w:val="clear" w:color="auto" w:fill="FFFFFF"/>
        </w:rPr>
        <w:t>Kovács László</w:t>
      </w:r>
      <w:r>
        <w:rPr>
          <w:rFonts w:ascii="Arial" w:hAnsi="Arial" w:cs="Arial"/>
          <w:color w:val="333333"/>
        </w:rPr>
        <w:br/>
      </w:r>
      <w:r>
        <w:rPr>
          <w:rFonts w:ascii="Calibri Light" w:hAnsi="Calibri Light" w:cs="Calibri Light"/>
          <w:color w:val="3F3434"/>
          <w:shd w:val="clear" w:color="auto" w:fill="FFFFFF"/>
        </w:rPr>
        <w:t>munkavédelmi szakember</w:t>
      </w:r>
      <w:r>
        <w:rPr>
          <w:rFonts w:ascii="Calibri Light" w:hAnsi="Calibri Light" w:cs="Calibri Light"/>
          <w:color w:val="3F3434"/>
          <w:shd w:val="clear" w:color="auto" w:fill="FFFFFF"/>
        </w:rPr>
        <w:t xml:space="preserve"> összeállításában</w:t>
      </w:r>
      <w:bookmarkStart w:id="0" w:name="_GoBack"/>
      <w:bookmarkEnd w:id="0"/>
      <w:r>
        <w:rPr>
          <w:rFonts w:ascii="Calibri Light" w:hAnsi="Calibri Light" w:cs="Calibri Light"/>
          <w:color w:val="3F3434"/>
          <w:shd w:val="clear" w:color="auto" w:fill="FFFFFF"/>
        </w:rPr>
        <w:br/>
      </w:r>
      <w:hyperlink r:id="rId8" w:tgtFrame="_blank" w:history="1">
        <w:r>
          <w:rPr>
            <w:rStyle w:val="Hiperhivatkozs"/>
            <w:rFonts w:ascii="Calibri Light" w:hAnsi="Calibri Light" w:cs="Calibri Light"/>
            <w:b/>
            <w:bCs/>
            <w:color w:val="771100"/>
            <w:u w:val="none"/>
            <w:shd w:val="clear" w:color="auto" w:fill="FFFFFF"/>
          </w:rPr>
          <w:t>VDSZ</w:t>
        </w:r>
      </w:hyperlink>
      <w:r>
        <w:rPr>
          <w:rFonts w:ascii="Calibri Light" w:hAnsi="Calibri Light" w:cs="Calibri Light"/>
          <w:b/>
          <w:bCs/>
          <w:color w:val="3F3434"/>
          <w:shd w:val="clear" w:color="auto" w:fill="FFFFFF"/>
        </w:rPr>
        <w:t xml:space="preserve"> </w:t>
      </w:r>
    </w:p>
    <w:sectPr w:rsidR="009779E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32E" w:rsidRDefault="0063032E" w:rsidP="006150C3">
      <w:pPr>
        <w:spacing w:after="0" w:line="240" w:lineRule="auto"/>
      </w:pPr>
      <w:r>
        <w:separator/>
      </w:r>
    </w:p>
  </w:endnote>
  <w:endnote w:type="continuationSeparator" w:id="0">
    <w:p w:rsidR="0063032E" w:rsidRDefault="0063032E" w:rsidP="0061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165248"/>
      <w:docPartObj>
        <w:docPartGallery w:val="Page Numbers (Bottom of Page)"/>
        <w:docPartUnique/>
      </w:docPartObj>
    </w:sdtPr>
    <w:sdtContent>
      <w:p w:rsidR="006150C3" w:rsidRDefault="006150C3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150C3" w:rsidRDefault="006150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32E" w:rsidRDefault="0063032E" w:rsidP="006150C3">
      <w:pPr>
        <w:spacing w:after="0" w:line="240" w:lineRule="auto"/>
      </w:pPr>
      <w:r>
        <w:separator/>
      </w:r>
    </w:p>
  </w:footnote>
  <w:footnote w:type="continuationSeparator" w:id="0">
    <w:p w:rsidR="0063032E" w:rsidRDefault="0063032E" w:rsidP="00615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48"/>
    <w:rsid w:val="004B49A6"/>
    <w:rsid w:val="006150C3"/>
    <w:rsid w:val="0063032E"/>
    <w:rsid w:val="009779ED"/>
    <w:rsid w:val="009E1D10"/>
    <w:rsid w:val="00C04687"/>
    <w:rsid w:val="00F5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8D20"/>
  <w15:chartTrackingRefBased/>
  <w15:docId w15:val="{2EEAB706-0F60-4CBB-AF27-D61F0425F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F519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F5194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51948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615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50C3"/>
  </w:style>
  <w:style w:type="paragraph" w:styleId="llb">
    <w:name w:val="footer"/>
    <w:basedOn w:val="Norml"/>
    <w:link w:val="llbChar"/>
    <w:uiPriority w:val="99"/>
    <w:unhideWhenUsed/>
    <w:rsid w:val="00615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5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5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739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44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12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50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04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46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410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40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82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44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11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84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1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32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2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3034">
              <w:marLeft w:val="0"/>
              <w:marRight w:val="0"/>
              <w:marTop w:val="161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799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688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694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36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2145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dsz.h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t.jogtar.hu/jogszabaly?docid=99300093.TV&amp;timeshift=20190101&amp;searchUrl=/gyorskereso%3Fkeyword%3Dmunkav%25C3%25A9delm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.jogtar.hu/jogszabaly?docid=A1800094.TV&amp;timeshift=fffffff4&amp;txtreferer=00000001.TX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1021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2018-12-19T16:17:00Z</dcterms:created>
  <dcterms:modified xsi:type="dcterms:W3CDTF">2018-12-19T16:48:00Z</dcterms:modified>
</cp:coreProperties>
</file>